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A7D593" w14:textId="77777777" w:rsidR="00043C72" w:rsidRDefault="00043C72" w:rsidP="00043C72">
      <w:pPr>
        <w:jc w:val="center"/>
        <w:rPr>
          <w:rFonts w:asciiTheme="minorHAnsi" w:hAnsiTheme="minorHAnsi"/>
          <w:b/>
        </w:rPr>
      </w:pPr>
      <w:bookmarkStart w:id="0" w:name="_GoBack"/>
      <w:bookmarkEnd w:id="0"/>
      <w:r>
        <w:rPr>
          <w:rFonts w:asciiTheme="minorHAnsi" w:hAnsiTheme="minorHAnsi"/>
          <w:i/>
          <w:noProof/>
        </w:rPr>
        <w:drawing>
          <wp:inline distT="0" distB="0" distL="0" distR="0" wp14:anchorId="20F26C04" wp14:editId="0F268D47">
            <wp:extent cx="1124607" cy="102561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Learn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0951" cy="1040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91476" w14:textId="77777777"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1</w:t>
      </w:r>
    </w:p>
    <w:p w14:paraId="1652DC38" w14:textId="77777777"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14:paraId="03D712A9" w14:textId="77777777" w:rsidR="000A6CB2" w:rsidRDefault="008730D3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 xml:space="preserve">At this point, you should be able to articulate your ILEARN, Operational Unit, improvement plan.  The questions below are three ways to ask the same thing. </w:t>
      </w:r>
    </w:p>
    <w:p w14:paraId="6CF3875A" w14:textId="77777777" w:rsidR="008730D3" w:rsidRPr="00043C72" w:rsidRDefault="008730D3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i/>
          <w:sz w:val="28"/>
          <w:szCs w:val="28"/>
          <w:u w:val="single"/>
        </w:rPr>
        <w:t>In</w:t>
      </w:r>
      <w:r w:rsidRPr="00043C72">
        <w:rPr>
          <w:rFonts w:asciiTheme="minorHAnsi" w:hAnsiTheme="minorHAnsi"/>
          <w:i/>
          <w:sz w:val="28"/>
          <w:szCs w:val="28"/>
        </w:rPr>
        <w:t xml:space="preserve"> </w:t>
      </w:r>
      <w:r w:rsidRPr="00043C72">
        <w:rPr>
          <w:rFonts w:asciiTheme="minorHAnsi" w:hAnsiTheme="minorHAnsi"/>
          <w:i/>
          <w:sz w:val="28"/>
          <w:szCs w:val="28"/>
          <w:u w:val="single"/>
        </w:rPr>
        <w:t>less than 50 words</w:t>
      </w:r>
      <w:r w:rsidRPr="00043C72">
        <w:rPr>
          <w:rFonts w:asciiTheme="minorHAnsi" w:hAnsiTheme="minorHAnsi"/>
          <w:i/>
          <w:sz w:val="28"/>
          <w:szCs w:val="28"/>
        </w:rPr>
        <w:t>,</w:t>
      </w:r>
      <w:r w:rsidRPr="00043C72">
        <w:rPr>
          <w:rFonts w:asciiTheme="minorHAnsi" w:hAnsiTheme="minorHAnsi"/>
          <w:sz w:val="28"/>
          <w:szCs w:val="28"/>
        </w:rPr>
        <w:t xml:space="preserve"> please respond to the question </w:t>
      </w:r>
      <w:r w:rsidR="00AD6028" w:rsidRPr="00043C72">
        <w:rPr>
          <w:rFonts w:asciiTheme="minorHAnsi" w:hAnsiTheme="minorHAnsi"/>
          <w:sz w:val="28"/>
          <w:szCs w:val="28"/>
        </w:rPr>
        <w:t xml:space="preserve">that makes the most sense to you.  </w:t>
      </w:r>
    </w:p>
    <w:p w14:paraId="559C7D1B" w14:textId="256173C7" w:rsidR="00AD6028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What problem(s) have you identified in your Operational Unit that you will work to address?</w:t>
      </w:r>
    </w:p>
    <w:p w14:paraId="6F7866EC" w14:textId="77777777" w:rsidR="00AD6028" w:rsidRPr="00043C72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What is the focus of your Operational Unit improvement plan?</w:t>
      </w:r>
    </w:p>
    <w:p w14:paraId="79115E12" w14:textId="77777777" w:rsidR="00B832CC" w:rsidRDefault="00AD6028" w:rsidP="00AD6028">
      <w:pPr>
        <w:pStyle w:val="ListParagraph"/>
        <w:numPr>
          <w:ilvl w:val="0"/>
          <w:numId w:val="2"/>
        </w:num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 xml:space="preserve">What is your Operational Unit’s strategic plan for improvement? </w:t>
      </w:r>
    </w:p>
    <w:p w14:paraId="2A52DFF0" w14:textId="1130F997" w:rsidR="00AD6028" w:rsidRPr="00043C72" w:rsidRDefault="00B832CC" w:rsidP="00B832CC">
      <w:pPr>
        <w:pStyle w:val="ListParagraph"/>
        <w:numPr>
          <w:ilvl w:val="1"/>
          <w:numId w:val="2"/>
        </w:numPr>
        <w:rPr>
          <w:rFonts w:asciiTheme="minorHAnsi" w:hAnsiTheme="minorHAnsi"/>
          <w:sz w:val="28"/>
          <w:szCs w:val="28"/>
        </w:rPr>
      </w:pPr>
      <w:r w:rsidRPr="00B328BD">
        <w:rPr>
          <w:rFonts w:asciiTheme="minorHAnsi" w:hAnsiTheme="minorHAnsi"/>
          <w:color w:val="7030A0"/>
          <w:sz w:val="28"/>
          <w:szCs w:val="28"/>
        </w:rPr>
        <w:t>Academic Advising’s plan for improvement is to evaluate components of our mission statement to determine goals and objectives based on the department</w:t>
      </w:r>
      <w:r w:rsidR="00DC1233">
        <w:rPr>
          <w:rFonts w:asciiTheme="minorHAnsi" w:hAnsiTheme="minorHAnsi"/>
          <w:color w:val="7030A0"/>
          <w:sz w:val="28"/>
          <w:szCs w:val="28"/>
        </w:rPr>
        <w:t>’s</w:t>
      </w:r>
      <w:r w:rsidRPr="00B328BD">
        <w:rPr>
          <w:rFonts w:asciiTheme="minorHAnsi" w:hAnsiTheme="minorHAnsi"/>
          <w:color w:val="7030A0"/>
          <w:sz w:val="28"/>
          <w:szCs w:val="28"/>
        </w:rPr>
        <w:t xml:space="preserve"> focus </w:t>
      </w:r>
      <w:r w:rsidR="00DC1233" w:rsidRPr="00B328BD">
        <w:rPr>
          <w:rFonts w:asciiTheme="minorHAnsi" w:hAnsiTheme="minorHAnsi"/>
          <w:color w:val="7030A0"/>
          <w:sz w:val="28"/>
          <w:szCs w:val="28"/>
        </w:rPr>
        <w:t>areas</w:t>
      </w:r>
      <w:r w:rsidRPr="00B328BD">
        <w:rPr>
          <w:rFonts w:asciiTheme="minorHAnsi" w:hAnsiTheme="minorHAnsi"/>
          <w:color w:val="7030A0"/>
          <w:sz w:val="28"/>
          <w:szCs w:val="28"/>
        </w:rPr>
        <w:t xml:space="preserve">. Through </w:t>
      </w:r>
      <w:r w:rsidR="00DC1233" w:rsidRPr="00B328BD">
        <w:rPr>
          <w:rFonts w:asciiTheme="minorHAnsi" w:hAnsiTheme="minorHAnsi"/>
          <w:color w:val="7030A0"/>
          <w:sz w:val="28"/>
          <w:szCs w:val="28"/>
        </w:rPr>
        <w:t xml:space="preserve">student </w:t>
      </w:r>
      <w:r w:rsidRPr="00B328BD">
        <w:rPr>
          <w:rFonts w:asciiTheme="minorHAnsi" w:hAnsiTheme="minorHAnsi"/>
          <w:color w:val="7030A0"/>
          <w:sz w:val="28"/>
          <w:szCs w:val="28"/>
        </w:rPr>
        <w:t xml:space="preserve">surveys and focus groups, Advising will utilize input to establish a baseline and develop specific goals to focus on for future improvement. </w:t>
      </w:r>
      <w:r w:rsidR="00AD6028" w:rsidRPr="00B328BD">
        <w:rPr>
          <w:rFonts w:asciiTheme="minorHAnsi" w:hAnsiTheme="minorHAnsi"/>
          <w:color w:val="7030A0"/>
          <w:sz w:val="28"/>
          <w:szCs w:val="28"/>
        </w:rPr>
        <w:t xml:space="preserve"> </w:t>
      </w:r>
      <w:r w:rsidR="004D3C92">
        <w:rPr>
          <w:rFonts w:asciiTheme="minorHAnsi" w:hAnsiTheme="minorHAnsi"/>
          <w:sz w:val="28"/>
          <w:szCs w:val="28"/>
        </w:rPr>
        <w:t>(</w:t>
      </w:r>
      <w:r w:rsidR="008A2A91">
        <w:rPr>
          <w:rFonts w:asciiTheme="minorHAnsi" w:hAnsiTheme="minorHAnsi"/>
          <w:sz w:val="28"/>
          <w:szCs w:val="28"/>
        </w:rPr>
        <w:t xml:space="preserve">49 </w:t>
      </w:r>
      <w:r w:rsidR="004D3C92">
        <w:rPr>
          <w:rFonts w:asciiTheme="minorHAnsi" w:hAnsiTheme="minorHAnsi"/>
          <w:sz w:val="28"/>
          <w:szCs w:val="28"/>
        </w:rPr>
        <w:t>words)</w:t>
      </w:r>
    </w:p>
    <w:p w14:paraId="4865B65B" w14:textId="77777777" w:rsidR="008730D3" w:rsidRPr="00043C72" w:rsidRDefault="008730D3">
      <w:pPr>
        <w:rPr>
          <w:rFonts w:asciiTheme="minorHAnsi" w:hAnsiTheme="minorHAnsi"/>
          <w:sz w:val="16"/>
          <w:szCs w:val="16"/>
        </w:rPr>
      </w:pPr>
    </w:p>
    <w:p w14:paraId="0111956F" w14:textId="77777777" w:rsidR="00AD6028" w:rsidRPr="00043C72" w:rsidRDefault="00AD6028">
      <w:pPr>
        <w:rPr>
          <w:rFonts w:asciiTheme="minorHAnsi" w:hAnsiTheme="minorHAnsi"/>
          <w:i/>
          <w:color w:val="808080" w:themeColor="background1" w:themeShade="80"/>
        </w:rPr>
      </w:pPr>
      <w:r w:rsidRPr="00043C72">
        <w:rPr>
          <w:rFonts w:asciiTheme="minorHAnsi" w:hAnsiTheme="minorHAnsi"/>
          <w:i/>
          <w:color w:val="808080" w:themeColor="background1" w:themeShade="80"/>
        </w:rPr>
        <w:t xml:space="preserve">For Example: </w:t>
      </w:r>
    </w:p>
    <w:p w14:paraId="1A9E64AC" w14:textId="77777777" w:rsidR="00081163" w:rsidRPr="00043C72" w:rsidRDefault="007A1EE4" w:rsidP="00043C72">
      <w:pPr>
        <w:ind w:left="72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 xml:space="preserve">ILEARN’s improvement plan is to </w:t>
      </w:r>
      <w:r w:rsidRPr="00043C72">
        <w:rPr>
          <w:rFonts w:asciiTheme="minorHAnsi" w:hAnsiTheme="minorHAnsi"/>
          <w:i/>
          <w:color w:val="808080" w:themeColor="background1" w:themeShade="80"/>
        </w:rPr>
        <w:t>implement</w:t>
      </w:r>
      <w:r w:rsidRPr="00043C72">
        <w:rPr>
          <w:rFonts w:asciiTheme="minorHAnsi" w:hAnsiTheme="minorHAnsi"/>
          <w:color w:val="808080" w:themeColor="background1" w:themeShade="80"/>
        </w:rPr>
        <w:t xml:space="preserve"> a guided, formalized, and comprehensive framework for program review. </w:t>
      </w:r>
      <w:r w:rsidRPr="00043C72">
        <w:rPr>
          <w:rFonts w:asciiTheme="minorHAnsi" w:hAnsiTheme="minorHAnsi"/>
          <w:i/>
          <w:color w:val="808080" w:themeColor="background1" w:themeShade="80"/>
        </w:rPr>
        <w:t>The reasons</w:t>
      </w:r>
      <w:r w:rsidRPr="00043C72">
        <w:rPr>
          <w:rFonts w:asciiTheme="minorHAnsi" w:hAnsiTheme="minorHAnsi"/>
          <w:color w:val="808080" w:themeColor="background1" w:themeShade="80"/>
        </w:rPr>
        <w:t xml:space="preserve"> for this improvement plan </w:t>
      </w:r>
      <w:r w:rsidR="0088164D" w:rsidRPr="00043C72">
        <w:rPr>
          <w:rFonts w:asciiTheme="minorHAnsi" w:hAnsiTheme="minorHAnsi"/>
          <w:color w:val="808080" w:themeColor="background1" w:themeShade="80"/>
        </w:rPr>
        <w:t>are that</w:t>
      </w:r>
      <w:r w:rsidRPr="00043C72">
        <w:rPr>
          <w:rFonts w:asciiTheme="minorHAnsi" w:hAnsiTheme="minorHAnsi"/>
          <w:color w:val="808080" w:themeColor="background1" w:themeShade="80"/>
        </w:rPr>
        <w:t xml:space="preserve"> RRCC currently lac</w:t>
      </w:r>
      <w:r w:rsidR="008730D3" w:rsidRPr="00043C72">
        <w:rPr>
          <w:rFonts w:asciiTheme="minorHAnsi" w:hAnsiTheme="minorHAnsi"/>
          <w:color w:val="808080" w:themeColor="background1" w:themeShade="80"/>
        </w:rPr>
        <w:t xml:space="preserve">ks a program review process, </w:t>
      </w:r>
      <w:r w:rsidRPr="00043C72">
        <w:rPr>
          <w:rFonts w:asciiTheme="minorHAnsi" w:hAnsiTheme="minorHAnsi"/>
          <w:color w:val="808080" w:themeColor="background1" w:themeShade="80"/>
        </w:rPr>
        <w:t>an assessment of student learning process</w:t>
      </w:r>
      <w:r w:rsidR="008730D3" w:rsidRPr="00043C72">
        <w:rPr>
          <w:rFonts w:asciiTheme="minorHAnsi" w:hAnsiTheme="minorHAnsi"/>
          <w:color w:val="808080" w:themeColor="background1" w:themeShade="80"/>
        </w:rPr>
        <w:t>, and regular data to make informed decision, all</w:t>
      </w:r>
      <w:r w:rsidRPr="00043C72">
        <w:rPr>
          <w:rFonts w:asciiTheme="minorHAnsi" w:hAnsiTheme="minorHAnsi"/>
          <w:color w:val="808080" w:themeColor="background1" w:themeShade="80"/>
        </w:rPr>
        <w:t xml:space="preserve"> required for HLC accreditation.  </w:t>
      </w:r>
    </w:p>
    <w:p w14:paraId="4988C771" w14:textId="77777777" w:rsidR="00B706D5" w:rsidRDefault="00B706D5">
      <w:pPr>
        <w:rPr>
          <w:rFonts w:asciiTheme="minorHAnsi" w:hAnsiTheme="minorHAnsi"/>
        </w:rPr>
      </w:pPr>
    </w:p>
    <w:p w14:paraId="1F581ECB" w14:textId="77777777" w:rsidR="007A1EE4" w:rsidRPr="00043C72" w:rsidRDefault="00043C72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6A822" wp14:editId="7B6CFF8B">
                <wp:simplePos x="0" y="0"/>
                <wp:positionH relativeFrom="margin">
                  <wp:align>left</wp:align>
                </wp:positionH>
                <wp:positionV relativeFrom="paragraph">
                  <wp:posOffset>34728</wp:posOffset>
                </wp:positionV>
                <wp:extent cx="6159062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34546F7" id="Straight Connector 2" o:spid="_x0000_s1026" style="position:absolute;z-index:25165926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.75pt" to="484.9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12A220B9" w14:textId="77777777"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2</w:t>
      </w:r>
    </w:p>
    <w:p w14:paraId="70CE1DEA" w14:textId="77777777"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14:paraId="2E5E8981" w14:textId="77777777" w:rsidR="00AD6028" w:rsidRDefault="00AD6028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 xml:space="preserve">What data supports the focus of the Operational Unit’s improvement plan? </w:t>
      </w:r>
    </w:p>
    <w:p w14:paraId="7BCDD820" w14:textId="79EB6307" w:rsidR="00B832CC" w:rsidRDefault="00B832CC" w:rsidP="0078387A">
      <w:pPr>
        <w:ind w:left="810"/>
        <w:rPr>
          <w:rFonts w:asciiTheme="minorHAnsi" w:hAnsiTheme="minorHAnsi"/>
          <w:color w:val="7030A0"/>
          <w:sz w:val="28"/>
          <w:szCs w:val="28"/>
        </w:rPr>
      </w:pPr>
      <w:r w:rsidRPr="00B328BD">
        <w:rPr>
          <w:rFonts w:asciiTheme="minorHAnsi" w:hAnsiTheme="minorHAnsi"/>
          <w:color w:val="7030A0"/>
          <w:sz w:val="28"/>
          <w:szCs w:val="28"/>
        </w:rPr>
        <w:t>Academic Advising will conduct a student feedback survey in order to collect baseline data. The department</w:t>
      </w:r>
      <w:r w:rsidR="001D3222">
        <w:rPr>
          <w:rFonts w:asciiTheme="minorHAnsi" w:hAnsiTheme="minorHAnsi"/>
          <w:color w:val="7030A0"/>
          <w:sz w:val="28"/>
          <w:szCs w:val="28"/>
        </w:rPr>
        <w:t xml:space="preserve"> is beginning to assess objective data in order to</w:t>
      </w:r>
      <w:r w:rsidRPr="00B328BD">
        <w:rPr>
          <w:rFonts w:asciiTheme="minorHAnsi" w:hAnsiTheme="minorHAnsi"/>
          <w:color w:val="7030A0"/>
          <w:sz w:val="28"/>
          <w:szCs w:val="28"/>
        </w:rPr>
        <w:t xml:space="preserve"> establis</w:t>
      </w:r>
      <w:r w:rsidR="001D3222">
        <w:rPr>
          <w:rFonts w:asciiTheme="minorHAnsi" w:hAnsiTheme="minorHAnsi"/>
          <w:color w:val="7030A0"/>
          <w:sz w:val="28"/>
          <w:szCs w:val="28"/>
        </w:rPr>
        <w:t>h</w:t>
      </w:r>
      <w:r w:rsidRPr="00B328BD">
        <w:rPr>
          <w:rFonts w:asciiTheme="minorHAnsi" w:hAnsiTheme="minorHAnsi"/>
          <w:color w:val="7030A0"/>
          <w:sz w:val="28"/>
          <w:szCs w:val="28"/>
        </w:rPr>
        <w:t xml:space="preserve"> a data-driven baseline </w:t>
      </w:r>
      <w:r w:rsidR="001D3222">
        <w:rPr>
          <w:rFonts w:asciiTheme="minorHAnsi" w:hAnsiTheme="minorHAnsi"/>
          <w:color w:val="7030A0"/>
          <w:sz w:val="28"/>
          <w:szCs w:val="28"/>
        </w:rPr>
        <w:t xml:space="preserve">and determine a </w:t>
      </w:r>
      <w:r w:rsidRPr="00B328BD">
        <w:rPr>
          <w:rFonts w:asciiTheme="minorHAnsi" w:hAnsiTheme="minorHAnsi"/>
          <w:color w:val="7030A0"/>
          <w:sz w:val="28"/>
          <w:szCs w:val="28"/>
        </w:rPr>
        <w:t xml:space="preserve">primary </w:t>
      </w:r>
      <w:r w:rsidR="008A2A91" w:rsidRPr="00B328BD">
        <w:rPr>
          <w:rFonts w:asciiTheme="minorHAnsi" w:hAnsiTheme="minorHAnsi"/>
          <w:color w:val="7030A0"/>
          <w:sz w:val="28"/>
          <w:szCs w:val="28"/>
        </w:rPr>
        <w:t>start</w:t>
      </w:r>
      <w:r w:rsidR="008A2A91">
        <w:rPr>
          <w:rFonts w:asciiTheme="minorHAnsi" w:hAnsiTheme="minorHAnsi"/>
          <w:color w:val="7030A0"/>
          <w:sz w:val="28"/>
          <w:szCs w:val="28"/>
        </w:rPr>
        <w:t>ing</w:t>
      </w:r>
      <w:r w:rsidR="008A2A91" w:rsidRPr="00B328BD">
        <w:rPr>
          <w:rFonts w:asciiTheme="minorHAnsi" w:hAnsiTheme="minorHAnsi"/>
          <w:color w:val="7030A0"/>
          <w:sz w:val="28"/>
          <w:szCs w:val="28"/>
        </w:rPr>
        <w:t xml:space="preserve"> </w:t>
      </w:r>
      <w:r w:rsidRPr="00B328BD">
        <w:rPr>
          <w:rFonts w:asciiTheme="minorHAnsi" w:hAnsiTheme="minorHAnsi"/>
          <w:color w:val="7030A0"/>
          <w:sz w:val="28"/>
          <w:szCs w:val="28"/>
        </w:rPr>
        <w:t>focus.</w:t>
      </w:r>
    </w:p>
    <w:p w14:paraId="57CCF807" w14:textId="77777777" w:rsidR="0078387A" w:rsidRDefault="0078387A" w:rsidP="0078387A">
      <w:pPr>
        <w:ind w:left="810"/>
        <w:rPr>
          <w:rFonts w:asciiTheme="minorHAnsi" w:hAnsiTheme="minorHAnsi"/>
          <w:color w:val="7030A0"/>
          <w:sz w:val="28"/>
          <w:szCs w:val="28"/>
        </w:rPr>
      </w:pPr>
    </w:p>
    <w:p w14:paraId="59C7C52A" w14:textId="26110B4F" w:rsidR="001D3222" w:rsidRDefault="001D3222" w:rsidP="0078387A">
      <w:pPr>
        <w:ind w:left="810"/>
        <w:rPr>
          <w:rFonts w:asciiTheme="minorHAnsi" w:hAnsiTheme="minorHAnsi"/>
          <w:color w:val="7030A0"/>
          <w:sz w:val="28"/>
          <w:szCs w:val="28"/>
        </w:rPr>
      </w:pPr>
      <w:r>
        <w:rPr>
          <w:rFonts w:asciiTheme="minorHAnsi" w:hAnsiTheme="minorHAnsi"/>
          <w:color w:val="7030A0"/>
          <w:sz w:val="28"/>
          <w:szCs w:val="28"/>
        </w:rPr>
        <w:t xml:space="preserve">By utilizing the SARS data that we have, we can find </w:t>
      </w:r>
      <w:r w:rsidR="007F1884">
        <w:rPr>
          <w:rFonts w:asciiTheme="minorHAnsi" w:hAnsiTheme="minorHAnsi"/>
          <w:color w:val="7030A0"/>
          <w:sz w:val="28"/>
          <w:szCs w:val="28"/>
        </w:rPr>
        <w:t>some</w:t>
      </w:r>
      <w:r>
        <w:rPr>
          <w:rFonts w:asciiTheme="minorHAnsi" w:hAnsiTheme="minorHAnsi"/>
          <w:color w:val="7030A0"/>
          <w:sz w:val="28"/>
          <w:szCs w:val="28"/>
        </w:rPr>
        <w:t xml:space="preserve"> areas in which we need to improve. SARS is our electronic sign-in and tracking system.  We will use this information in conjunction with the input from the surveys and focus groups to re-evaluate the Red Rocks’ Advising model.</w:t>
      </w:r>
    </w:p>
    <w:p w14:paraId="14FD1521" w14:textId="77777777" w:rsidR="007F1884" w:rsidRDefault="007F1884" w:rsidP="00280FAA">
      <w:pPr>
        <w:ind w:left="810"/>
        <w:rPr>
          <w:rFonts w:asciiTheme="minorHAnsi" w:hAnsiTheme="minorHAnsi"/>
          <w:color w:val="7030A0"/>
          <w:sz w:val="28"/>
          <w:szCs w:val="28"/>
        </w:rPr>
      </w:pPr>
    </w:p>
    <w:p w14:paraId="6448B4E5" w14:textId="7A3EE030" w:rsidR="007F1884" w:rsidRPr="00F964FF" w:rsidRDefault="007F1884" w:rsidP="00280FAA">
      <w:pPr>
        <w:ind w:left="810"/>
        <w:rPr>
          <w:rFonts w:asciiTheme="minorHAnsi" w:hAnsiTheme="minorHAnsi"/>
          <w:color w:val="7030A0"/>
          <w:sz w:val="28"/>
          <w:szCs w:val="28"/>
        </w:rPr>
      </w:pPr>
      <w:r>
        <w:rPr>
          <w:rFonts w:asciiTheme="minorHAnsi" w:hAnsiTheme="minorHAnsi"/>
          <w:color w:val="7030A0"/>
          <w:sz w:val="28"/>
          <w:szCs w:val="28"/>
        </w:rPr>
        <w:lastRenderedPageBreak/>
        <w:t>L</w:t>
      </w:r>
      <w:r w:rsidRPr="00F964FF">
        <w:rPr>
          <w:rFonts w:asciiTheme="minorHAnsi" w:hAnsiTheme="minorHAnsi"/>
          <w:color w:val="7030A0"/>
          <w:sz w:val="28"/>
          <w:szCs w:val="28"/>
        </w:rPr>
        <w:t xml:space="preserve">ooking at Advising’s </w:t>
      </w:r>
      <w:r>
        <w:rPr>
          <w:rFonts w:asciiTheme="minorHAnsi" w:hAnsiTheme="minorHAnsi"/>
          <w:color w:val="7030A0"/>
          <w:sz w:val="28"/>
          <w:szCs w:val="28"/>
        </w:rPr>
        <w:t>past</w:t>
      </w:r>
      <w:r w:rsidRPr="00F964FF">
        <w:rPr>
          <w:rFonts w:asciiTheme="minorHAnsi" w:hAnsiTheme="minorHAnsi"/>
          <w:color w:val="7030A0"/>
          <w:sz w:val="28"/>
          <w:szCs w:val="28"/>
        </w:rPr>
        <w:t xml:space="preserve"> 2-week registration rush times since 2015, we found the following data, which shows that Advising has been seeing more students</w:t>
      </w:r>
      <w:r>
        <w:rPr>
          <w:rFonts w:asciiTheme="minorHAnsi" w:hAnsiTheme="minorHAnsi"/>
          <w:color w:val="7030A0"/>
          <w:sz w:val="28"/>
          <w:szCs w:val="28"/>
        </w:rPr>
        <w:t>,</w:t>
      </w:r>
      <w:r w:rsidRPr="00F964FF">
        <w:rPr>
          <w:rFonts w:asciiTheme="minorHAnsi" w:hAnsiTheme="minorHAnsi"/>
          <w:color w:val="7030A0"/>
          <w:sz w:val="28"/>
          <w:szCs w:val="28"/>
        </w:rPr>
        <w:t xml:space="preserve"> but </w:t>
      </w:r>
      <w:r>
        <w:rPr>
          <w:rFonts w:asciiTheme="minorHAnsi" w:hAnsiTheme="minorHAnsi"/>
          <w:color w:val="7030A0"/>
          <w:sz w:val="28"/>
          <w:szCs w:val="28"/>
        </w:rPr>
        <w:t xml:space="preserve">there are more students walking off. </w:t>
      </w:r>
    </w:p>
    <w:tbl>
      <w:tblPr>
        <w:tblW w:w="7192" w:type="dxa"/>
        <w:tblInd w:w="89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72"/>
        <w:gridCol w:w="869"/>
        <w:gridCol w:w="1021"/>
        <w:gridCol w:w="990"/>
        <w:gridCol w:w="1170"/>
        <w:gridCol w:w="1170"/>
      </w:tblGrid>
      <w:tr w:rsidR="007F1884" w:rsidRPr="0078387A" w14:paraId="6F10190B" w14:textId="77777777" w:rsidTr="00935F81">
        <w:trPr>
          <w:trHeight w:val="315"/>
        </w:trPr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50AAC1" w14:textId="77777777" w:rsidR="007F1884" w:rsidRPr="0078387A" w:rsidRDefault="007F1884" w:rsidP="00935F81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Date Range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5B387BA" w14:textId="77777777" w:rsidR="007F1884" w:rsidRPr="0078387A" w:rsidRDefault="007F1884" w:rsidP="00935F81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Drop-ins Seen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6ACDB3" w14:textId="77777777" w:rsidR="007F1884" w:rsidRPr="0078387A" w:rsidRDefault="007F1884" w:rsidP="00935F81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Not Seen/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Walk offs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6231C7" w14:textId="77777777" w:rsidR="007F1884" w:rsidRPr="0078387A" w:rsidRDefault="007F1884" w:rsidP="00935F81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Average Wait Time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1C92C3" w14:textId="77777777" w:rsidR="007F1884" w:rsidRPr="0078387A" w:rsidRDefault="007F1884" w:rsidP="00935F81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Total Checked In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36F2DE" w14:textId="77777777" w:rsidR="007F1884" w:rsidRPr="0078387A" w:rsidRDefault="007F1884" w:rsidP="00935F81">
            <w:pPr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Percent Walked Off</w:t>
            </w:r>
          </w:p>
        </w:tc>
      </w:tr>
      <w:tr w:rsidR="007F1884" w:rsidRPr="0078387A" w14:paraId="414DFDA6" w14:textId="77777777" w:rsidTr="00935F81">
        <w:trPr>
          <w:trHeight w:val="315"/>
        </w:trPr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9DB880" w14:textId="77777777" w:rsidR="007F1884" w:rsidRPr="0078387A" w:rsidRDefault="007F1884" w:rsidP="00935F81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4-6-15 to 4-17-15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8BBE9EE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786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0A2AB9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50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15DE2F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21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F9AF40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836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C525F5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5.98%</w:t>
            </w:r>
          </w:p>
        </w:tc>
      </w:tr>
      <w:tr w:rsidR="007F1884" w:rsidRPr="0078387A" w14:paraId="4EC09252" w14:textId="77777777" w:rsidTr="00935F81">
        <w:trPr>
          <w:trHeight w:val="315"/>
        </w:trPr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8089461" w14:textId="77777777" w:rsidR="007F1884" w:rsidRPr="0078387A" w:rsidRDefault="007F1884" w:rsidP="00935F81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4-4-16 to 4-15-16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C314D98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817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7A7976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45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929B61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20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5FA749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861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A18D90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5.23%</w:t>
            </w:r>
          </w:p>
        </w:tc>
      </w:tr>
      <w:tr w:rsidR="007F1884" w:rsidRPr="0078387A" w14:paraId="12CD23FC" w14:textId="77777777" w:rsidTr="00935F81">
        <w:trPr>
          <w:trHeight w:val="315"/>
        </w:trPr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BA38CB" w14:textId="77777777" w:rsidR="007F1884" w:rsidRPr="0078387A" w:rsidRDefault="007F1884" w:rsidP="00935F81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4-3-17 to 4-14-17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2197E5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806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CCDEFE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56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9395F5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30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ECB01F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862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72D601E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6.50%</w:t>
            </w:r>
          </w:p>
        </w:tc>
      </w:tr>
      <w:tr w:rsidR="007F1884" w:rsidRPr="0078387A" w14:paraId="24D20C36" w14:textId="77777777" w:rsidTr="00935F81">
        <w:trPr>
          <w:trHeight w:val="315"/>
        </w:trPr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2EA4027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FAC0E8E" w14:textId="77777777" w:rsidR="007F1884" w:rsidRPr="0078387A" w:rsidRDefault="007F1884" w:rsidP="00935F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B73721" w14:textId="77777777" w:rsidR="007F1884" w:rsidRPr="0078387A" w:rsidRDefault="007F1884" w:rsidP="00935F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DCAA2CA" w14:textId="77777777" w:rsidR="007F1884" w:rsidRPr="0078387A" w:rsidRDefault="007F1884" w:rsidP="00935F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D3E2E5" w14:textId="77777777" w:rsidR="007F1884" w:rsidRPr="0078387A" w:rsidRDefault="007F1884" w:rsidP="00935F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B437EB" w14:textId="77777777" w:rsidR="007F1884" w:rsidRPr="0078387A" w:rsidRDefault="007F1884" w:rsidP="00935F81">
            <w:pPr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7F1884" w:rsidRPr="0078387A" w14:paraId="71EFD7D5" w14:textId="77777777" w:rsidTr="00935F81">
        <w:trPr>
          <w:trHeight w:val="315"/>
        </w:trPr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2B454A" w14:textId="77777777" w:rsidR="007F1884" w:rsidRPr="0078387A" w:rsidRDefault="007F1884" w:rsidP="00935F81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11-2-15 to 11-13-15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C0E0145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841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053A8A8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58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A00C8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26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7CEAFF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899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01985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6.45%</w:t>
            </w:r>
          </w:p>
        </w:tc>
      </w:tr>
      <w:tr w:rsidR="007F1884" w:rsidRPr="0078387A" w14:paraId="2AE9F70E" w14:textId="77777777" w:rsidTr="00935F81">
        <w:trPr>
          <w:trHeight w:val="315"/>
        </w:trPr>
        <w:tc>
          <w:tcPr>
            <w:tcW w:w="197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380263" w14:textId="77777777" w:rsidR="007F1884" w:rsidRPr="0078387A" w:rsidRDefault="007F1884" w:rsidP="00935F81">
            <w:pPr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11-7-16 to 11-18-16</w:t>
            </w:r>
          </w:p>
        </w:tc>
        <w:tc>
          <w:tcPr>
            <w:tcW w:w="86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4C05B1F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869</w:t>
            </w:r>
          </w:p>
        </w:tc>
        <w:tc>
          <w:tcPr>
            <w:tcW w:w="1021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746EDB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104</w:t>
            </w:r>
          </w:p>
        </w:tc>
        <w:tc>
          <w:tcPr>
            <w:tcW w:w="99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CDA30C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39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F4D4E1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973</w:t>
            </w:r>
          </w:p>
        </w:tc>
        <w:tc>
          <w:tcPr>
            <w:tcW w:w="117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97AD8E" w14:textId="77777777" w:rsidR="007F1884" w:rsidRPr="0078387A" w:rsidRDefault="007F1884" w:rsidP="00935F81">
            <w:pPr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78387A">
              <w:rPr>
                <w:rFonts w:ascii="Arial" w:eastAsia="Times New Roman" w:hAnsi="Arial" w:cs="Arial"/>
                <w:sz w:val="20"/>
                <w:szCs w:val="24"/>
              </w:rPr>
              <w:t>10.69%</w:t>
            </w:r>
          </w:p>
        </w:tc>
      </w:tr>
    </w:tbl>
    <w:p w14:paraId="6067190F" w14:textId="77777777" w:rsidR="001D3222" w:rsidRDefault="001D3222" w:rsidP="0078387A">
      <w:pPr>
        <w:ind w:left="810"/>
        <w:rPr>
          <w:rFonts w:asciiTheme="minorHAnsi" w:hAnsiTheme="minorHAnsi"/>
          <w:color w:val="7030A0"/>
          <w:sz w:val="28"/>
          <w:szCs w:val="28"/>
        </w:rPr>
      </w:pPr>
    </w:p>
    <w:p w14:paraId="0827AB0B" w14:textId="77777777" w:rsidR="0078387A" w:rsidRPr="00043C72" w:rsidRDefault="0078387A" w:rsidP="00280FAA">
      <w:pPr>
        <w:rPr>
          <w:rFonts w:asciiTheme="minorHAnsi" w:hAnsiTheme="minorHAnsi"/>
          <w:sz w:val="28"/>
          <w:szCs w:val="28"/>
        </w:rPr>
      </w:pPr>
    </w:p>
    <w:p w14:paraId="22E941A8" w14:textId="77777777"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14:paraId="69889196" w14:textId="77777777" w:rsidR="00AD6028" w:rsidRPr="00043C72" w:rsidRDefault="00AD6028" w:rsidP="00AD6028">
      <w:pPr>
        <w:rPr>
          <w:rFonts w:asciiTheme="minorHAnsi" w:hAnsiTheme="minorHAnsi"/>
          <w:i/>
          <w:color w:val="808080" w:themeColor="background1" w:themeShade="80"/>
        </w:rPr>
      </w:pPr>
      <w:r w:rsidRPr="00043C72">
        <w:rPr>
          <w:rFonts w:asciiTheme="minorHAnsi" w:hAnsiTheme="minorHAnsi"/>
          <w:i/>
          <w:color w:val="808080" w:themeColor="background1" w:themeShade="80"/>
        </w:rPr>
        <w:t xml:space="preserve">For Example: </w:t>
      </w:r>
    </w:p>
    <w:p w14:paraId="3746133D" w14:textId="77777777" w:rsidR="007A1EE4" w:rsidRPr="00043C72" w:rsidRDefault="007A1EE4" w:rsidP="00043C72">
      <w:pPr>
        <w:ind w:left="72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 xml:space="preserve">The data to support the ILEARN plan is 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the </w:t>
      </w:r>
      <w:r w:rsidRPr="00043C72">
        <w:rPr>
          <w:rFonts w:asciiTheme="minorHAnsi" w:hAnsiTheme="minorHAnsi"/>
          <w:color w:val="808080" w:themeColor="background1" w:themeShade="80"/>
        </w:rPr>
        <w:t>Systems Appraisal Feedback Report,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 most specifically</w:t>
      </w:r>
      <w:r w:rsidRPr="00043C72">
        <w:rPr>
          <w:rFonts w:asciiTheme="minorHAnsi" w:hAnsiTheme="minorHAnsi"/>
          <w:color w:val="808080" w:themeColor="background1" w:themeShade="80"/>
        </w:rPr>
        <w:t xml:space="preserve"> Criterion 4 and 5. </w:t>
      </w:r>
    </w:p>
    <w:p w14:paraId="165CECA5" w14:textId="77777777" w:rsidR="00B706D5" w:rsidRDefault="00B706D5">
      <w:pPr>
        <w:rPr>
          <w:rFonts w:asciiTheme="minorHAnsi" w:hAnsiTheme="minorHAnsi"/>
        </w:rPr>
      </w:pPr>
    </w:p>
    <w:p w14:paraId="05EF357C" w14:textId="77777777" w:rsidR="00AD6028" w:rsidRPr="00043C72" w:rsidRDefault="00B706D5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948244" wp14:editId="1F562D77">
                <wp:simplePos x="0" y="0"/>
                <wp:positionH relativeFrom="margin">
                  <wp:align>left</wp:align>
                </wp:positionH>
                <wp:positionV relativeFrom="paragraph">
                  <wp:posOffset>15043</wp:posOffset>
                </wp:positionV>
                <wp:extent cx="6159062" cy="0"/>
                <wp:effectExtent l="0" t="0" r="3238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9062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05C3C721" id="Straight Connector 3" o:spid="_x0000_s1026" style="position:absolute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.2pt" to="484.95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14:paraId="44E38AB9" w14:textId="77777777" w:rsidR="00AD6028" w:rsidRPr="00043C72" w:rsidRDefault="00AD6028">
      <w:pPr>
        <w:rPr>
          <w:rFonts w:asciiTheme="minorHAnsi" w:hAnsiTheme="minorHAnsi"/>
          <w:b/>
        </w:rPr>
      </w:pPr>
      <w:r w:rsidRPr="00043C72">
        <w:rPr>
          <w:rFonts w:asciiTheme="minorHAnsi" w:hAnsiTheme="minorHAnsi"/>
          <w:b/>
        </w:rPr>
        <w:t>QUESTION 3</w:t>
      </w:r>
    </w:p>
    <w:p w14:paraId="684DA948" w14:textId="77777777"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14:paraId="06641357" w14:textId="77777777" w:rsidR="00AD6028" w:rsidRDefault="00043C72">
      <w:pPr>
        <w:rPr>
          <w:rFonts w:asciiTheme="minorHAnsi" w:hAnsiTheme="minorHAnsi"/>
          <w:sz w:val="28"/>
          <w:szCs w:val="28"/>
        </w:rPr>
      </w:pPr>
      <w:r w:rsidRPr="00043C72">
        <w:rPr>
          <w:rFonts w:asciiTheme="minorHAnsi" w:hAnsiTheme="minorHAnsi"/>
          <w:sz w:val="28"/>
          <w:szCs w:val="28"/>
        </w:rPr>
        <w:t>By f</w:t>
      </w:r>
      <w:r w:rsidR="00AD6028" w:rsidRPr="00043C72">
        <w:rPr>
          <w:rFonts w:asciiTheme="minorHAnsi" w:hAnsiTheme="minorHAnsi"/>
          <w:sz w:val="28"/>
          <w:szCs w:val="28"/>
        </w:rPr>
        <w:t>all 2019, how will you know if your Operational Unit’s improvement plan worked? In other words, what are your indicator</w:t>
      </w:r>
      <w:r w:rsidR="0088164D" w:rsidRPr="00043C72">
        <w:rPr>
          <w:rFonts w:asciiTheme="minorHAnsi" w:hAnsiTheme="minorHAnsi"/>
          <w:sz w:val="28"/>
          <w:szCs w:val="28"/>
        </w:rPr>
        <w:t>s of success?</w:t>
      </w:r>
      <w:r w:rsidR="00AD6028" w:rsidRPr="00043C72">
        <w:rPr>
          <w:rFonts w:asciiTheme="minorHAnsi" w:hAnsiTheme="minorHAnsi"/>
          <w:sz w:val="28"/>
          <w:szCs w:val="28"/>
        </w:rPr>
        <w:t xml:space="preserve"> </w:t>
      </w:r>
    </w:p>
    <w:p w14:paraId="48469E76" w14:textId="77777777" w:rsidR="00B832CC" w:rsidRDefault="00B832CC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ab/>
      </w:r>
    </w:p>
    <w:p w14:paraId="5839F500" w14:textId="48BE12C1" w:rsidR="00B832CC" w:rsidRPr="00B328BD" w:rsidRDefault="00B832CC" w:rsidP="0078387A">
      <w:pPr>
        <w:ind w:left="360"/>
        <w:rPr>
          <w:rFonts w:asciiTheme="minorHAnsi" w:hAnsiTheme="minorHAnsi"/>
          <w:color w:val="7030A0"/>
          <w:sz w:val="28"/>
          <w:szCs w:val="28"/>
        </w:rPr>
      </w:pPr>
      <w:r w:rsidRPr="00B328BD">
        <w:rPr>
          <w:rFonts w:asciiTheme="minorHAnsi" w:hAnsiTheme="minorHAnsi"/>
          <w:color w:val="7030A0"/>
          <w:sz w:val="28"/>
          <w:szCs w:val="28"/>
        </w:rPr>
        <w:t xml:space="preserve">We will consider this iteration of </w:t>
      </w:r>
      <w:r w:rsidR="000D1ADA">
        <w:rPr>
          <w:rFonts w:asciiTheme="minorHAnsi" w:hAnsiTheme="minorHAnsi"/>
          <w:color w:val="7030A0"/>
          <w:sz w:val="28"/>
          <w:szCs w:val="28"/>
        </w:rPr>
        <w:t>i</w:t>
      </w:r>
      <w:r w:rsidRPr="00B328BD">
        <w:rPr>
          <w:rFonts w:asciiTheme="minorHAnsi" w:hAnsiTheme="minorHAnsi"/>
          <w:color w:val="7030A0"/>
          <w:sz w:val="28"/>
          <w:szCs w:val="28"/>
        </w:rPr>
        <w:t xml:space="preserve">LEARN a success if Academic Advising: </w:t>
      </w:r>
    </w:p>
    <w:p w14:paraId="4278DC90" w14:textId="3EE25B44" w:rsidR="00B832CC" w:rsidRPr="00B328BD" w:rsidRDefault="00B832CC" w:rsidP="00B832CC">
      <w:pPr>
        <w:pStyle w:val="ListParagraph"/>
        <w:numPr>
          <w:ilvl w:val="0"/>
          <w:numId w:val="3"/>
        </w:numPr>
        <w:rPr>
          <w:rFonts w:asciiTheme="minorHAnsi" w:hAnsiTheme="minorHAnsi"/>
          <w:color w:val="7030A0"/>
          <w:sz w:val="28"/>
          <w:szCs w:val="28"/>
        </w:rPr>
      </w:pPr>
      <w:r w:rsidRPr="00B328BD">
        <w:rPr>
          <w:rFonts w:asciiTheme="minorHAnsi" w:hAnsiTheme="minorHAnsi"/>
          <w:color w:val="7030A0"/>
          <w:sz w:val="28"/>
          <w:szCs w:val="28"/>
        </w:rPr>
        <w:t xml:space="preserve">establishes a yearly (or semesterly) feedback opportunity to continuously gather </w:t>
      </w:r>
      <w:r w:rsidR="00945FB0">
        <w:rPr>
          <w:rFonts w:asciiTheme="minorHAnsi" w:hAnsiTheme="minorHAnsi"/>
          <w:color w:val="7030A0"/>
          <w:sz w:val="28"/>
          <w:szCs w:val="28"/>
        </w:rPr>
        <w:t>student input</w:t>
      </w:r>
      <w:r w:rsidR="00945FB0" w:rsidRPr="00B328BD">
        <w:rPr>
          <w:rFonts w:asciiTheme="minorHAnsi" w:hAnsiTheme="minorHAnsi"/>
          <w:color w:val="7030A0"/>
          <w:sz w:val="28"/>
          <w:szCs w:val="28"/>
        </w:rPr>
        <w:t xml:space="preserve"> </w:t>
      </w:r>
      <w:r w:rsidRPr="00B328BD">
        <w:rPr>
          <w:rFonts w:asciiTheme="minorHAnsi" w:hAnsiTheme="minorHAnsi"/>
          <w:color w:val="7030A0"/>
          <w:sz w:val="28"/>
          <w:szCs w:val="28"/>
        </w:rPr>
        <w:t>and measure improvements</w:t>
      </w:r>
    </w:p>
    <w:p w14:paraId="22059E2B" w14:textId="77777777" w:rsidR="00B832CC" w:rsidRPr="00B328BD" w:rsidRDefault="00B832CC" w:rsidP="00B832CC">
      <w:pPr>
        <w:pStyle w:val="ListParagraph"/>
        <w:numPr>
          <w:ilvl w:val="0"/>
          <w:numId w:val="3"/>
        </w:numPr>
        <w:rPr>
          <w:rFonts w:asciiTheme="minorHAnsi" w:hAnsiTheme="minorHAnsi"/>
          <w:color w:val="7030A0"/>
          <w:sz w:val="28"/>
          <w:szCs w:val="28"/>
        </w:rPr>
      </w:pPr>
      <w:r w:rsidRPr="00B328BD">
        <w:rPr>
          <w:rFonts w:asciiTheme="minorHAnsi" w:hAnsiTheme="minorHAnsi"/>
          <w:color w:val="7030A0"/>
          <w:sz w:val="28"/>
          <w:szCs w:val="28"/>
        </w:rPr>
        <w:t>clearly establishes data-driven goals based on feedback</w:t>
      </w:r>
    </w:p>
    <w:p w14:paraId="4C91AE76" w14:textId="347EEEEC" w:rsidR="00B832CC" w:rsidRDefault="006F1F0F" w:rsidP="00B832CC">
      <w:pPr>
        <w:pStyle w:val="ListParagraph"/>
        <w:numPr>
          <w:ilvl w:val="0"/>
          <w:numId w:val="3"/>
        </w:numPr>
        <w:rPr>
          <w:rFonts w:asciiTheme="minorHAnsi" w:hAnsiTheme="minorHAnsi"/>
          <w:color w:val="7030A0"/>
          <w:sz w:val="28"/>
          <w:szCs w:val="28"/>
        </w:rPr>
      </w:pPr>
      <w:r w:rsidRPr="00B328BD">
        <w:rPr>
          <w:rFonts w:asciiTheme="minorHAnsi" w:hAnsiTheme="minorHAnsi"/>
          <w:color w:val="7030A0"/>
          <w:sz w:val="28"/>
          <w:szCs w:val="28"/>
        </w:rPr>
        <w:t>show</w:t>
      </w:r>
      <w:r>
        <w:rPr>
          <w:rFonts w:asciiTheme="minorHAnsi" w:hAnsiTheme="minorHAnsi"/>
          <w:color w:val="7030A0"/>
          <w:sz w:val="28"/>
          <w:szCs w:val="28"/>
        </w:rPr>
        <w:t>s</w:t>
      </w:r>
      <w:r w:rsidRPr="00B328BD">
        <w:rPr>
          <w:rFonts w:asciiTheme="minorHAnsi" w:hAnsiTheme="minorHAnsi"/>
          <w:color w:val="7030A0"/>
          <w:sz w:val="28"/>
          <w:szCs w:val="28"/>
        </w:rPr>
        <w:t xml:space="preserve"> measurable improvement </w:t>
      </w:r>
      <w:r>
        <w:rPr>
          <w:rFonts w:asciiTheme="minorHAnsi" w:hAnsiTheme="minorHAnsi"/>
          <w:color w:val="7030A0"/>
          <w:sz w:val="28"/>
          <w:szCs w:val="28"/>
        </w:rPr>
        <w:t xml:space="preserve">on </w:t>
      </w:r>
      <w:r w:rsidR="00B832CC" w:rsidRPr="00B328BD">
        <w:rPr>
          <w:rFonts w:asciiTheme="minorHAnsi" w:hAnsiTheme="minorHAnsi"/>
          <w:color w:val="7030A0"/>
          <w:sz w:val="28"/>
          <w:szCs w:val="28"/>
        </w:rPr>
        <w:t xml:space="preserve">those established goals </w:t>
      </w:r>
    </w:p>
    <w:p w14:paraId="5BF41E9B" w14:textId="2474785A" w:rsidR="00F964FF" w:rsidRDefault="00C241DE" w:rsidP="00B832CC">
      <w:pPr>
        <w:pStyle w:val="ListParagraph"/>
        <w:numPr>
          <w:ilvl w:val="0"/>
          <w:numId w:val="3"/>
        </w:numPr>
        <w:rPr>
          <w:rFonts w:asciiTheme="minorHAnsi" w:hAnsiTheme="minorHAnsi"/>
          <w:color w:val="7030A0"/>
          <w:sz w:val="28"/>
          <w:szCs w:val="28"/>
        </w:rPr>
      </w:pPr>
      <w:r>
        <w:rPr>
          <w:rFonts w:asciiTheme="minorHAnsi" w:hAnsiTheme="minorHAnsi"/>
          <w:color w:val="7030A0"/>
          <w:sz w:val="28"/>
          <w:szCs w:val="28"/>
        </w:rPr>
        <w:t>determine</w:t>
      </w:r>
      <w:r w:rsidR="008C77CB">
        <w:rPr>
          <w:rFonts w:asciiTheme="minorHAnsi" w:hAnsiTheme="minorHAnsi"/>
          <w:color w:val="7030A0"/>
          <w:sz w:val="28"/>
          <w:szCs w:val="28"/>
        </w:rPr>
        <w:t>s</w:t>
      </w:r>
      <w:r>
        <w:rPr>
          <w:rFonts w:asciiTheme="minorHAnsi" w:hAnsiTheme="minorHAnsi"/>
          <w:color w:val="7030A0"/>
          <w:sz w:val="28"/>
          <w:szCs w:val="28"/>
        </w:rPr>
        <w:t xml:space="preserve"> what </w:t>
      </w:r>
      <w:r w:rsidR="009D0BD9">
        <w:rPr>
          <w:rFonts w:asciiTheme="minorHAnsi" w:hAnsiTheme="minorHAnsi"/>
          <w:color w:val="7030A0"/>
          <w:sz w:val="28"/>
          <w:szCs w:val="28"/>
        </w:rPr>
        <w:t>“</w:t>
      </w:r>
      <w:r>
        <w:rPr>
          <w:rFonts w:asciiTheme="minorHAnsi" w:hAnsiTheme="minorHAnsi"/>
          <w:color w:val="7030A0"/>
          <w:sz w:val="28"/>
          <w:szCs w:val="28"/>
        </w:rPr>
        <w:t>measurable improvement</w:t>
      </w:r>
      <w:r w:rsidR="009D0BD9">
        <w:rPr>
          <w:rFonts w:asciiTheme="minorHAnsi" w:hAnsiTheme="minorHAnsi"/>
          <w:color w:val="7030A0"/>
          <w:sz w:val="28"/>
          <w:szCs w:val="28"/>
        </w:rPr>
        <w:t>”</w:t>
      </w:r>
      <w:r>
        <w:rPr>
          <w:rFonts w:asciiTheme="minorHAnsi" w:hAnsiTheme="minorHAnsi"/>
          <w:color w:val="7030A0"/>
          <w:sz w:val="28"/>
          <w:szCs w:val="28"/>
        </w:rPr>
        <w:t xml:space="preserve"> looks like</w:t>
      </w:r>
    </w:p>
    <w:p w14:paraId="2BD1EF1C" w14:textId="3AA51B03" w:rsidR="00945FB0" w:rsidRDefault="00945FB0" w:rsidP="00B832CC">
      <w:pPr>
        <w:pStyle w:val="ListParagraph"/>
        <w:numPr>
          <w:ilvl w:val="0"/>
          <w:numId w:val="3"/>
        </w:numPr>
        <w:rPr>
          <w:rFonts w:asciiTheme="minorHAnsi" w:hAnsiTheme="minorHAnsi"/>
          <w:color w:val="7030A0"/>
          <w:sz w:val="28"/>
          <w:szCs w:val="28"/>
        </w:rPr>
      </w:pPr>
      <w:r>
        <w:rPr>
          <w:rFonts w:asciiTheme="minorHAnsi" w:hAnsiTheme="minorHAnsi"/>
          <w:color w:val="7030A0"/>
          <w:sz w:val="28"/>
          <w:szCs w:val="28"/>
        </w:rPr>
        <w:t>make</w:t>
      </w:r>
      <w:r w:rsidR="008C77CB">
        <w:rPr>
          <w:rFonts w:asciiTheme="minorHAnsi" w:hAnsiTheme="minorHAnsi"/>
          <w:color w:val="7030A0"/>
          <w:sz w:val="28"/>
          <w:szCs w:val="28"/>
        </w:rPr>
        <w:t>s</w:t>
      </w:r>
      <w:r>
        <w:rPr>
          <w:rFonts w:asciiTheme="minorHAnsi" w:hAnsiTheme="minorHAnsi"/>
          <w:color w:val="7030A0"/>
          <w:sz w:val="28"/>
          <w:szCs w:val="28"/>
        </w:rPr>
        <w:t xml:space="preserve"> adjustments to our </w:t>
      </w:r>
      <w:r w:rsidR="008C77CB">
        <w:rPr>
          <w:rFonts w:asciiTheme="minorHAnsi" w:hAnsiTheme="minorHAnsi"/>
          <w:color w:val="7030A0"/>
          <w:sz w:val="28"/>
          <w:szCs w:val="28"/>
        </w:rPr>
        <w:t>operational unit practices</w:t>
      </w:r>
    </w:p>
    <w:p w14:paraId="496B299D" w14:textId="77777777" w:rsidR="00F964FF" w:rsidRPr="00280FAA" w:rsidRDefault="00F964FF" w:rsidP="00280FAA">
      <w:pPr>
        <w:rPr>
          <w:rFonts w:asciiTheme="minorHAnsi" w:hAnsiTheme="minorHAnsi"/>
          <w:color w:val="7030A0"/>
          <w:sz w:val="28"/>
          <w:szCs w:val="28"/>
        </w:rPr>
      </w:pPr>
    </w:p>
    <w:p w14:paraId="0BDED2B7" w14:textId="77777777" w:rsidR="00AD6028" w:rsidRPr="00043C72" w:rsidRDefault="00AD6028">
      <w:pPr>
        <w:rPr>
          <w:rFonts w:asciiTheme="minorHAnsi" w:hAnsiTheme="minorHAnsi"/>
          <w:sz w:val="16"/>
          <w:szCs w:val="16"/>
        </w:rPr>
      </w:pPr>
    </w:p>
    <w:p w14:paraId="7E4674E4" w14:textId="77777777" w:rsidR="00AD6028" w:rsidRPr="00043C72" w:rsidRDefault="00AD6028">
      <w:pPr>
        <w:rPr>
          <w:rFonts w:asciiTheme="minorHAnsi" w:hAnsiTheme="minorHAnsi"/>
          <w:i/>
          <w:color w:val="808080" w:themeColor="background1" w:themeShade="80"/>
        </w:rPr>
      </w:pPr>
      <w:r w:rsidRPr="00043C72">
        <w:rPr>
          <w:rFonts w:asciiTheme="minorHAnsi" w:hAnsiTheme="minorHAnsi"/>
          <w:i/>
          <w:color w:val="808080" w:themeColor="background1" w:themeShade="80"/>
        </w:rPr>
        <w:t xml:space="preserve">For Example: </w:t>
      </w:r>
    </w:p>
    <w:p w14:paraId="6FFF5ACB" w14:textId="77777777" w:rsidR="007A1EE4" w:rsidRPr="00043C72" w:rsidRDefault="00AD6028" w:rsidP="00043C72">
      <w:pPr>
        <w:ind w:left="36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>ILEARN</w:t>
      </w:r>
      <w:r w:rsidR="0088164D" w:rsidRPr="00043C72">
        <w:rPr>
          <w:rFonts w:asciiTheme="minorHAnsi" w:hAnsiTheme="minorHAnsi"/>
          <w:color w:val="808080" w:themeColor="background1" w:themeShade="80"/>
        </w:rPr>
        <w:t>’s</w:t>
      </w:r>
      <w:r w:rsidRPr="00043C72">
        <w:rPr>
          <w:rFonts w:asciiTheme="minorHAnsi" w:hAnsiTheme="minorHAnsi"/>
          <w:color w:val="808080" w:themeColor="background1" w:themeShade="80"/>
        </w:rPr>
        <w:t xml:space="preserve"> m</w:t>
      </w:r>
      <w:r w:rsidR="007A1EE4" w:rsidRPr="00043C72">
        <w:rPr>
          <w:rFonts w:asciiTheme="minorHAnsi" w:hAnsiTheme="minorHAnsi"/>
          <w:color w:val="808080" w:themeColor="background1" w:themeShade="80"/>
        </w:rPr>
        <w:t>easures of success by 2019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 include</w:t>
      </w:r>
      <w:r w:rsidR="007A1EE4" w:rsidRPr="00043C72">
        <w:rPr>
          <w:rFonts w:asciiTheme="minorHAnsi" w:hAnsiTheme="minorHAnsi"/>
          <w:color w:val="808080" w:themeColor="background1" w:themeShade="80"/>
        </w:rPr>
        <w:t>:</w:t>
      </w:r>
    </w:p>
    <w:p w14:paraId="324B0346" w14:textId="77777777" w:rsidR="007A1EE4" w:rsidRPr="00043C72" w:rsidRDefault="007A1EE4" w:rsidP="00043C72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>All operational u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nits are involved in the ILEARN </w:t>
      </w:r>
      <w:r w:rsidRPr="00043C72">
        <w:rPr>
          <w:rFonts w:asciiTheme="minorHAnsi" w:hAnsiTheme="minorHAnsi"/>
          <w:color w:val="808080" w:themeColor="background1" w:themeShade="80"/>
        </w:rPr>
        <w:t>process with documentation and implementation of an improvement plan and assessment of student learning plan.</w:t>
      </w:r>
    </w:p>
    <w:p w14:paraId="02C97311" w14:textId="77777777" w:rsidR="008730D3" w:rsidRPr="00043C72" w:rsidRDefault="008730D3" w:rsidP="00043C72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>Data sets are annually provided to operational units</w:t>
      </w:r>
    </w:p>
    <w:p w14:paraId="05501677" w14:textId="77777777" w:rsidR="007A1EE4" w:rsidRPr="00043C72" w:rsidRDefault="008730D3" w:rsidP="00043C72">
      <w:pPr>
        <w:pStyle w:val="ListParagraph"/>
        <w:numPr>
          <w:ilvl w:val="0"/>
          <w:numId w:val="1"/>
        </w:numPr>
        <w:ind w:left="1080"/>
        <w:rPr>
          <w:rFonts w:asciiTheme="minorHAnsi" w:hAnsiTheme="minorHAnsi"/>
          <w:color w:val="808080" w:themeColor="background1" w:themeShade="80"/>
        </w:rPr>
      </w:pPr>
      <w:r w:rsidRPr="00043C72">
        <w:rPr>
          <w:rFonts w:asciiTheme="minorHAnsi" w:hAnsiTheme="minorHAnsi"/>
          <w:color w:val="808080" w:themeColor="background1" w:themeShade="80"/>
        </w:rPr>
        <w:t xml:space="preserve">All categories of Criterion 4 and 5 in the 2019 Systems Appraisal Feedback Report 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score </w:t>
      </w:r>
      <w:r w:rsidRPr="00043C72">
        <w:rPr>
          <w:rFonts w:asciiTheme="minorHAnsi" w:hAnsiTheme="minorHAnsi"/>
          <w:color w:val="808080" w:themeColor="background1" w:themeShade="80"/>
        </w:rPr>
        <w:t xml:space="preserve">at a minimum of “Adequate, but could be improved” to maximum and the ultimate goal of “Strong, Clear, and well presented.” </w:t>
      </w:r>
    </w:p>
    <w:p w14:paraId="6C7A8B0D" w14:textId="77777777" w:rsidR="00AD6028" w:rsidRPr="00043C72" w:rsidRDefault="00AD6028" w:rsidP="00AD6028">
      <w:pPr>
        <w:rPr>
          <w:rFonts w:asciiTheme="minorHAnsi" w:hAnsiTheme="minorHAnsi"/>
          <w:color w:val="808080" w:themeColor="background1" w:themeShade="80"/>
          <w:sz w:val="16"/>
          <w:szCs w:val="16"/>
        </w:rPr>
      </w:pPr>
    </w:p>
    <w:p w14:paraId="34356EEB" w14:textId="77777777" w:rsidR="00AD6028" w:rsidRPr="00043C72" w:rsidRDefault="00AD6028" w:rsidP="00AD6028">
      <w:pPr>
        <w:rPr>
          <w:rFonts w:asciiTheme="minorHAnsi" w:hAnsiTheme="minorHAnsi"/>
          <w:color w:val="808080" w:themeColor="background1" w:themeShade="80"/>
        </w:rPr>
      </w:pPr>
      <w:r w:rsidRPr="00483652">
        <w:rPr>
          <w:rFonts w:asciiTheme="minorHAnsi" w:hAnsiTheme="minorHAnsi"/>
          <w:b/>
          <w:i/>
        </w:rPr>
        <w:t>NOTICE</w:t>
      </w:r>
      <w:r w:rsidRPr="00483652">
        <w:rPr>
          <w:rFonts w:asciiTheme="minorHAnsi" w:hAnsiTheme="minorHAnsi"/>
        </w:rPr>
        <w:t xml:space="preserve"> </w:t>
      </w:r>
      <w:r w:rsidRPr="00043C72">
        <w:rPr>
          <w:rFonts w:asciiTheme="minorHAnsi" w:hAnsiTheme="minorHAnsi"/>
          <w:color w:val="808080" w:themeColor="background1" w:themeShade="80"/>
        </w:rPr>
        <w:t>how the measures of success relate directly back to the problems</w:t>
      </w:r>
      <w:r w:rsidR="0088164D" w:rsidRPr="00043C72">
        <w:rPr>
          <w:rFonts w:asciiTheme="minorHAnsi" w:hAnsiTheme="minorHAnsi"/>
          <w:color w:val="808080" w:themeColor="background1" w:themeShade="80"/>
        </w:rPr>
        <w:t>/reasons</w:t>
      </w:r>
      <w:r w:rsidRPr="00043C72">
        <w:rPr>
          <w:rFonts w:asciiTheme="minorHAnsi" w:hAnsiTheme="minorHAnsi"/>
          <w:color w:val="808080" w:themeColor="background1" w:themeShade="80"/>
        </w:rPr>
        <w:t xml:space="preserve"> </w:t>
      </w:r>
      <w:r w:rsidR="0088164D" w:rsidRPr="00043C72">
        <w:rPr>
          <w:rFonts w:asciiTheme="minorHAnsi" w:hAnsiTheme="minorHAnsi"/>
          <w:color w:val="808080" w:themeColor="background1" w:themeShade="80"/>
        </w:rPr>
        <w:t xml:space="preserve">for ILEARN’s improvement plan and the data set. </w:t>
      </w:r>
    </w:p>
    <w:p w14:paraId="00ED0C02" w14:textId="77777777" w:rsidR="00AD6028" w:rsidRDefault="00AD6028" w:rsidP="00AD6028"/>
    <w:sectPr w:rsidR="00AD6028" w:rsidSect="00043C7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226"/>
    <w:multiLevelType w:val="hybridMultilevel"/>
    <w:tmpl w:val="0296B5E2"/>
    <w:lvl w:ilvl="0" w:tplc="F4B41F2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4805595"/>
    <w:multiLevelType w:val="hybridMultilevel"/>
    <w:tmpl w:val="FEFEE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702189"/>
    <w:multiLevelType w:val="hybridMultilevel"/>
    <w:tmpl w:val="4A46B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EE4"/>
    <w:rsid w:val="00043C72"/>
    <w:rsid w:val="00052BE4"/>
    <w:rsid w:val="00081163"/>
    <w:rsid w:val="000A6CB2"/>
    <w:rsid w:val="000D1ADA"/>
    <w:rsid w:val="000E255D"/>
    <w:rsid w:val="0013534D"/>
    <w:rsid w:val="001D3222"/>
    <w:rsid w:val="00202DF1"/>
    <w:rsid w:val="00280FAA"/>
    <w:rsid w:val="003B51AF"/>
    <w:rsid w:val="00483652"/>
    <w:rsid w:val="004B2EF0"/>
    <w:rsid w:val="004D1DA2"/>
    <w:rsid w:val="004D3C92"/>
    <w:rsid w:val="00587BB7"/>
    <w:rsid w:val="0066479F"/>
    <w:rsid w:val="00666339"/>
    <w:rsid w:val="00672146"/>
    <w:rsid w:val="006F1F0F"/>
    <w:rsid w:val="0078387A"/>
    <w:rsid w:val="00790892"/>
    <w:rsid w:val="007A1EE4"/>
    <w:rsid w:val="007F1884"/>
    <w:rsid w:val="008730D3"/>
    <w:rsid w:val="0088164D"/>
    <w:rsid w:val="008A2A91"/>
    <w:rsid w:val="008C77CB"/>
    <w:rsid w:val="00945FB0"/>
    <w:rsid w:val="009D0BD9"/>
    <w:rsid w:val="00AD6028"/>
    <w:rsid w:val="00B05C3C"/>
    <w:rsid w:val="00B328BD"/>
    <w:rsid w:val="00B706D5"/>
    <w:rsid w:val="00B832CC"/>
    <w:rsid w:val="00C241DE"/>
    <w:rsid w:val="00DC1233"/>
    <w:rsid w:val="00E110DD"/>
    <w:rsid w:val="00E811F2"/>
    <w:rsid w:val="00F929C9"/>
    <w:rsid w:val="00F9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07A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2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A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E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2A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9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A2A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2A9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2A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2A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2A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5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535</Words>
  <Characters>3053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Red Rocks Community College</Company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Lacroix, Nicole</dc:creator>
  <cp:lastModifiedBy>%username%</cp:lastModifiedBy>
  <cp:revision>2</cp:revision>
  <cp:lastPrinted>2017-07-18T15:05:00Z</cp:lastPrinted>
  <dcterms:created xsi:type="dcterms:W3CDTF">2017-08-03T19:23:00Z</dcterms:created>
  <dcterms:modified xsi:type="dcterms:W3CDTF">2017-08-03T19:23:00Z</dcterms:modified>
</cp:coreProperties>
</file>